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02EF" w14:textId="126F5E43" w:rsidR="009C7F45" w:rsidRPr="009C7F45" w:rsidRDefault="009C7F45" w:rsidP="009C7F45">
      <w:pPr>
        <w:jc w:val="center"/>
        <w:rPr>
          <w:rFonts w:ascii="Verdana" w:hAnsi="Verdana"/>
          <w:b/>
          <w:bCs/>
          <w:sz w:val="32"/>
          <w:szCs w:val="32"/>
        </w:rPr>
      </w:pPr>
      <w:r w:rsidRPr="009C7F45">
        <w:rPr>
          <w:rFonts w:ascii="Verdana" w:hAnsi="Verdana"/>
          <w:b/>
          <w:bCs/>
          <w:sz w:val="32"/>
          <w:szCs w:val="32"/>
        </w:rPr>
        <w:t>HORIZONS OF HOPE- WITH BONUS FEATURES FROM CHURCH TEACHING</w:t>
      </w:r>
    </w:p>
    <w:p w14:paraId="0E9D9F93" w14:textId="77777777" w:rsidR="009C7F45" w:rsidRDefault="009C7F45" w:rsidP="009C7F45">
      <w:pPr>
        <w:jc w:val="center"/>
        <w:rPr>
          <w:rFonts w:ascii="Verdana" w:hAnsi="Verdana"/>
          <w:b/>
          <w:bCs/>
          <w:sz w:val="28"/>
          <w:szCs w:val="28"/>
        </w:rPr>
      </w:pPr>
    </w:p>
    <w:p w14:paraId="24876C5C" w14:textId="77777777" w:rsidR="009C7F45" w:rsidRPr="009C7F45" w:rsidRDefault="009C7F45" w:rsidP="009C7F45">
      <w:pPr>
        <w:jc w:val="center"/>
        <w:rPr>
          <w:rFonts w:ascii="Verdana" w:hAnsi="Verdana"/>
          <w:b/>
          <w:bCs/>
        </w:rPr>
      </w:pPr>
      <w:r w:rsidRPr="009C7F45">
        <w:rPr>
          <w:rFonts w:ascii="Verdana" w:hAnsi="Verdana"/>
          <w:b/>
          <w:bCs/>
        </w:rPr>
        <w:t xml:space="preserve">PRESENTER:  TARA NADAL </w:t>
      </w:r>
    </w:p>
    <w:p w14:paraId="15C1071B" w14:textId="7A54BD64" w:rsidR="009C7F45" w:rsidRPr="009C7F45" w:rsidRDefault="009C7F45" w:rsidP="009C7F45">
      <w:pPr>
        <w:jc w:val="center"/>
        <w:rPr>
          <w:rFonts w:ascii="Verdana" w:hAnsi="Verdana"/>
          <w:b/>
          <w:bCs/>
        </w:rPr>
      </w:pPr>
      <w:r w:rsidRPr="009C7F45">
        <w:rPr>
          <w:rFonts w:ascii="Verdana" w:hAnsi="Verdana"/>
          <w:b/>
          <w:bCs/>
        </w:rPr>
        <w:t>M.A. Catechesis and Evangelization, M.A. Catholic Studies</w:t>
      </w:r>
    </w:p>
    <w:p w14:paraId="38F6590D" w14:textId="5358F002" w:rsidR="009C7F45" w:rsidRPr="009C7F45" w:rsidRDefault="009C7F45" w:rsidP="009C7F45">
      <w:pPr>
        <w:jc w:val="center"/>
        <w:rPr>
          <w:rFonts w:ascii="Verdana" w:hAnsi="Verdana"/>
          <w:b/>
          <w:bCs/>
        </w:rPr>
      </w:pPr>
      <w:r w:rsidRPr="009C7F45">
        <w:rPr>
          <w:rFonts w:ascii="Verdana" w:hAnsi="Verdana"/>
          <w:b/>
          <w:bCs/>
        </w:rPr>
        <w:t>Franciscan University of Steubenville</w:t>
      </w:r>
    </w:p>
    <w:p w14:paraId="27A10B99" w14:textId="77777777" w:rsidR="009C7F45" w:rsidRPr="009C7F45" w:rsidRDefault="009C7F45" w:rsidP="009C7F45">
      <w:pPr>
        <w:jc w:val="center"/>
        <w:rPr>
          <w:rFonts w:ascii="Verdana" w:hAnsi="Verdana"/>
          <w:b/>
          <w:bCs/>
        </w:rPr>
      </w:pPr>
    </w:p>
    <w:p w14:paraId="2B2F9B80" w14:textId="3CE1B2E6" w:rsidR="009C7F45" w:rsidRDefault="009C7F45" w:rsidP="009C7F45">
      <w:pPr>
        <w:rPr>
          <w:rFonts w:ascii="Verdana" w:hAnsi="Verdana"/>
          <w:b/>
          <w:bCs/>
        </w:rPr>
      </w:pPr>
      <w:r w:rsidRPr="009C7F45">
        <w:rPr>
          <w:rFonts w:ascii="Verdana" w:hAnsi="Verdana"/>
          <w:b/>
          <w:bCs/>
        </w:rPr>
        <w:t xml:space="preserve">Week </w:t>
      </w:r>
      <w:r w:rsidR="007C5B5B">
        <w:rPr>
          <w:rFonts w:ascii="Verdana" w:hAnsi="Verdana"/>
          <w:b/>
          <w:bCs/>
        </w:rPr>
        <w:t>2</w:t>
      </w:r>
      <w:r w:rsidRPr="009C7F45">
        <w:rPr>
          <w:rFonts w:ascii="Verdana" w:hAnsi="Verdana"/>
          <w:b/>
          <w:bCs/>
        </w:rPr>
        <w:t xml:space="preserve">: </w:t>
      </w:r>
      <w:r w:rsidR="007C5B5B" w:rsidRPr="007C5B5B">
        <w:rPr>
          <w:rFonts w:ascii="Verdana" w:hAnsi="Verdana"/>
          <w:b/>
          <w:bCs/>
        </w:rPr>
        <w:t>Discerning and making decisions at the end of life</w:t>
      </w:r>
    </w:p>
    <w:p w14:paraId="19F3E553" w14:textId="77777777" w:rsidR="00392AD6" w:rsidRDefault="00392AD6" w:rsidP="009C7F45">
      <w:pPr>
        <w:rPr>
          <w:rFonts w:ascii="Verdana" w:hAnsi="Verdana"/>
          <w:b/>
          <w:bCs/>
        </w:rPr>
      </w:pPr>
    </w:p>
    <w:p w14:paraId="791CC0C3" w14:textId="30704B67" w:rsidR="00392AD6" w:rsidRDefault="00392AD6" w:rsidP="009C7F45">
      <w:pPr>
        <w:rPr>
          <w:rFonts w:ascii="Verdana" w:hAnsi="Verdana"/>
          <w:b/>
          <w:bCs/>
        </w:rPr>
      </w:pPr>
      <w:r>
        <w:rPr>
          <w:rFonts w:ascii="Verdana" w:hAnsi="Verdana"/>
          <w:b/>
          <w:bCs/>
        </w:rPr>
        <w:t>Resources:</w:t>
      </w:r>
    </w:p>
    <w:p w14:paraId="6D2026B2" w14:textId="77777777" w:rsidR="007C5B5B" w:rsidRDefault="007C5B5B" w:rsidP="009C7F45">
      <w:pPr>
        <w:rPr>
          <w:rFonts w:ascii="Verdana" w:hAnsi="Verdana"/>
          <w:b/>
          <w:bCs/>
        </w:rPr>
      </w:pPr>
    </w:p>
    <w:p w14:paraId="2054696F" w14:textId="49190B57" w:rsidR="007C5B5B" w:rsidRPr="007C5B5B" w:rsidRDefault="007C5B5B" w:rsidP="009C7F45">
      <w:pPr>
        <w:rPr>
          <w:rFonts w:ascii="Verdana" w:hAnsi="Verdana"/>
        </w:rPr>
      </w:pPr>
      <w:r>
        <w:rPr>
          <w:rFonts w:ascii="Verdana" w:hAnsi="Verdana"/>
        </w:rPr>
        <w:t xml:space="preserve">From the </w:t>
      </w:r>
      <w:r w:rsidRPr="007C5B5B">
        <w:rPr>
          <w:rFonts w:ascii="Verdana" w:hAnsi="Verdana"/>
          <w:b/>
          <w:bCs/>
        </w:rPr>
        <w:t>Congregation of the Doctrine of the Faith</w:t>
      </w:r>
    </w:p>
    <w:p w14:paraId="3D783D49" w14:textId="77777777" w:rsidR="007C5B5B" w:rsidRDefault="007C5B5B" w:rsidP="009C7F45">
      <w:pPr>
        <w:rPr>
          <w:rFonts w:ascii="Verdana" w:hAnsi="Verdana"/>
          <w:b/>
          <w:bCs/>
        </w:rPr>
      </w:pPr>
    </w:p>
    <w:p w14:paraId="0C49C977" w14:textId="77777777" w:rsidR="007C5B5B" w:rsidRDefault="007C5B5B" w:rsidP="007C5B5B">
      <w:pPr>
        <w:rPr>
          <w:rFonts w:ascii="Verdana" w:hAnsi="Verdana"/>
          <w:b/>
          <w:bCs/>
          <w:lang w:val="en-CA"/>
        </w:rPr>
      </w:pPr>
      <w:r w:rsidRPr="007C5B5B">
        <w:rPr>
          <w:rFonts w:ascii="Verdana" w:hAnsi="Verdana"/>
          <w:b/>
          <w:bCs/>
          <w:i/>
          <w:iCs/>
          <w:lang w:val="en-CA"/>
        </w:rPr>
        <w:t>SAMARITANUS BONUS</w:t>
      </w:r>
      <w:r>
        <w:rPr>
          <w:rFonts w:ascii="Verdana" w:hAnsi="Verdana"/>
          <w:b/>
          <w:bCs/>
          <w:lang w:val="en-CA"/>
        </w:rPr>
        <w:t xml:space="preserve"> -</w:t>
      </w:r>
      <w:r w:rsidRPr="007C5B5B">
        <w:rPr>
          <w:rFonts w:ascii="Verdana" w:hAnsi="Verdana"/>
          <w:b/>
          <w:bCs/>
          <w:lang w:val="en-CA"/>
        </w:rPr>
        <w:t>on the care of persons in the critical and terminal phases of life</w:t>
      </w:r>
    </w:p>
    <w:p w14:paraId="151EFAC8" w14:textId="77777777" w:rsidR="007C5B5B" w:rsidRDefault="007C5B5B" w:rsidP="007C5B5B">
      <w:pPr>
        <w:rPr>
          <w:rFonts w:ascii="Verdana" w:hAnsi="Verdana"/>
          <w:b/>
          <w:bCs/>
          <w:lang w:val="en-CA"/>
        </w:rPr>
      </w:pPr>
    </w:p>
    <w:p w14:paraId="7990C367" w14:textId="64265347" w:rsidR="007C5B5B" w:rsidRPr="007C5B5B" w:rsidRDefault="007C5B5B" w:rsidP="007C5B5B">
      <w:pPr>
        <w:rPr>
          <w:rFonts w:ascii="Verdana" w:hAnsi="Verdana"/>
          <w:lang w:val="en-CA"/>
        </w:rPr>
      </w:pPr>
      <w:hyperlink r:id="rId5" w:anchor="Pastoral_discernment" w:history="1">
        <w:r w:rsidRPr="007C5B5B">
          <w:rPr>
            <w:rStyle w:val="Hyperlink"/>
            <w:rFonts w:ascii="Verdana" w:hAnsi="Verdana"/>
            <w:lang w:val="en-CA"/>
          </w:rPr>
          <w:t>https://www.vatican.va/roman_curia/congregations/cfaith/documents/rc_con_cfaith_doc_20200714_samaritanus-bonus_en.html#Pastoral_discernment</w:t>
        </w:r>
        <w:r w:rsidRPr="007C5B5B">
          <w:rPr>
            <w:rStyle w:val="Hyperlink"/>
            <w:rFonts w:ascii="Verdana" w:hAnsi="Verdana"/>
            <w:lang w:val="en-CA"/>
          </w:rPr>
          <w:br/>
        </w:r>
      </w:hyperlink>
    </w:p>
    <w:p w14:paraId="6F1C066E" w14:textId="77777777" w:rsidR="007C5B5B" w:rsidRPr="007C5B5B" w:rsidRDefault="007C5B5B" w:rsidP="007C5B5B">
      <w:pPr>
        <w:rPr>
          <w:rFonts w:ascii="Verdana" w:hAnsi="Verdana"/>
        </w:rPr>
      </w:pPr>
      <w:r w:rsidRPr="007C5B5B">
        <w:rPr>
          <w:rFonts w:ascii="Verdana" w:hAnsi="Verdana"/>
        </w:rPr>
        <w:t>11. Pastoral discernment towards those who request Euthanasia or Assisted Suicide</w:t>
      </w:r>
    </w:p>
    <w:p w14:paraId="212FAE96" w14:textId="77777777" w:rsidR="007C5B5B" w:rsidRPr="007C5B5B" w:rsidRDefault="007C5B5B" w:rsidP="007C5B5B">
      <w:pPr>
        <w:rPr>
          <w:rFonts w:ascii="Verdana" w:hAnsi="Verdana"/>
        </w:rPr>
      </w:pPr>
    </w:p>
    <w:p w14:paraId="3D497773" w14:textId="354AAAAD" w:rsidR="007C5B5B" w:rsidRPr="007C5B5B" w:rsidRDefault="007C5B5B" w:rsidP="007C5B5B">
      <w:pPr>
        <w:rPr>
          <w:rFonts w:ascii="Verdana" w:hAnsi="Verdana"/>
        </w:rPr>
      </w:pPr>
      <w:r w:rsidRPr="007C5B5B">
        <w:rPr>
          <w:rFonts w:ascii="Verdana" w:hAnsi="Verdana"/>
        </w:rPr>
        <w:t>The pastoral accompaniment of those who expressly ask for euthanasia or assisted suicide today presents a singular moment when a reaffirmation of the teaching of the Church is necessary. With respect to the Sacrament of Penance and Reconciliation, the confessor must be assured of the presence of the true contrition necessary for the validity of absolution which consists in “sorrow of mind and a detestation for sin committed, with the purpose of not sinning for the future”.</w:t>
      </w:r>
      <w:r>
        <w:rPr>
          <w:rFonts w:ascii="Verdana" w:hAnsi="Verdana"/>
        </w:rPr>
        <w:t xml:space="preserve">  </w:t>
      </w:r>
      <w:r w:rsidRPr="007C5B5B">
        <w:rPr>
          <w:rFonts w:ascii="Verdana" w:hAnsi="Verdana"/>
        </w:rPr>
        <w:t>In this situation, we find ourselves before a person who, whatever their subjective dispositions may be, has decided upon a gravely immoral act and willingly persists in this decision. Such a state involves a manifest absence of the proper disposition for the reception of the Sacraments of Penance, with absolution,</w:t>
      </w:r>
      <w:r w:rsidR="009D2EE7">
        <w:rPr>
          <w:rFonts w:ascii="Verdana" w:hAnsi="Verdana"/>
        </w:rPr>
        <w:t xml:space="preserve"> </w:t>
      </w:r>
      <w:r w:rsidRPr="007C5B5B">
        <w:rPr>
          <w:rFonts w:ascii="Verdana" w:hAnsi="Verdana"/>
        </w:rPr>
        <w:t>and Anointing,</w:t>
      </w:r>
      <w:r w:rsidR="009D2EE7">
        <w:rPr>
          <w:rFonts w:ascii="Verdana" w:hAnsi="Verdana"/>
        </w:rPr>
        <w:t xml:space="preserve"> </w:t>
      </w:r>
      <w:r w:rsidRPr="007C5B5B">
        <w:rPr>
          <w:rFonts w:ascii="Verdana" w:hAnsi="Verdana"/>
        </w:rPr>
        <w:t>with Viaticum.</w:t>
      </w:r>
      <w:r w:rsidR="009D2EE7">
        <w:rPr>
          <w:rFonts w:ascii="Verdana" w:hAnsi="Verdana"/>
        </w:rPr>
        <w:t xml:space="preserve">  </w:t>
      </w:r>
      <w:r w:rsidRPr="007C5B5B">
        <w:rPr>
          <w:rFonts w:ascii="Verdana" w:hAnsi="Verdana"/>
        </w:rPr>
        <w:t xml:space="preserve">Such a penitent can receive these sacraments only when the minister discerns his or her readiness to take concrete steps that indicate he or she has modified their decision in this regard. </w:t>
      </w:r>
      <w:proofErr w:type="gramStart"/>
      <w:r w:rsidRPr="007C5B5B">
        <w:rPr>
          <w:rFonts w:ascii="Verdana" w:hAnsi="Verdana"/>
        </w:rPr>
        <w:t>Thus</w:t>
      </w:r>
      <w:proofErr w:type="gramEnd"/>
      <w:r w:rsidRPr="007C5B5B">
        <w:rPr>
          <w:rFonts w:ascii="Verdana" w:hAnsi="Verdana"/>
        </w:rPr>
        <w:t xml:space="preserve"> a person who may be registered in an association to receive euthanasia or assisted suicide must manifest the intention of cancelling such a registration before receiving the sacraments. It must be recalled that the necessity to postpone absolution does not imply a judgment on the </w:t>
      </w:r>
      <w:proofErr w:type="spellStart"/>
      <w:r w:rsidRPr="007C5B5B">
        <w:rPr>
          <w:rFonts w:ascii="Verdana" w:hAnsi="Verdana"/>
        </w:rPr>
        <w:t>imputability</w:t>
      </w:r>
      <w:proofErr w:type="spellEnd"/>
      <w:r w:rsidRPr="007C5B5B">
        <w:rPr>
          <w:rFonts w:ascii="Verdana" w:hAnsi="Verdana"/>
        </w:rPr>
        <w:t xml:space="preserve"> of guilt, since personal responsibility could be diminished or non-existent.</w:t>
      </w:r>
      <w:r w:rsidR="009D2EE7">
        <w:rPr>
          <w:rFonts w:ascii="Verdana" w:hAnsi="Verdana"/>
        </w:rPr>
        <w:t xml:space="preserve">  </w:t>
      </w:r>
      <w:r w:rsidRPr="007C5B5B">
        <w:rPr>
          <w:rFonts w:ascii="Verdana" w:hAnsi="Verdana"/>
        </w:rPr>
        <w:t xml:space="preserve">The priest could administer the sacraments to an unconscious person sub </w:t>
      </w:r>
      <w:proofErr w:type="spellStart"/>
      <w:r w:rsidRPr="007C5B5B">
        <w:rPr>
          <w:rFonts w:ascii="Verdana" w:hAnsi="Verdana"/>
        </w:rPr>
        <w:t>condicione</w:t>
      </w:r>
      <w:proofErr w:type="spellEnd"/>
      <w:r w:rsidRPr="007C5B5B">
        <w:rPr>
          <w:rFonts w:ascii="Verdana" w:hAnsi="Verdana"/>
        </w:rPr>
        <w:t xml:space="preserve"> if, on the basis of some signal given by the patient beforehand, he can presume his or her repentance.</w:t>
      </w:r>
    </w:p>
    <w:p w14:paraId="46785124" w14:textId="77777777" w:rsidR="007C5B5B" w:rsidRPr="007C5B5B" w:rsidRDefault="007C5B5B" w:rsidP="007C5B5B">
      <w:pPr>
        <w:rPr>
          <w:rFonts w:ascii="Verdana" w:hAnsi="Verdana"/>
        </w:rPr>
      </w:pPr>
    </w:p>
    <w:p w14:paraId="10CDAE2B" w14:textId="77777777" w:rsidR="007C5B5B" w:rsidRPr="007C5B5B" w:rsidRDefault="007C5B5B" w:rsidP="007C5B5B">
      <w:pPr>
        <w:rPr>
          <w:rFonts w:ascii="Verdana" w:hAnsi="Verdana"/>
        </w:rPr>
      </w:pPr>
      <w:r w:rsidRPr="007C5B5B">
        <w:rPr>
          <w:rFonts w:ascii="Verdana" w:hAnsi="Verdana"/>
        </w:rPr>
        <w:t>The position of the Church here does not imply a non-acceptance of the sick person. It must be accompanied by a willingness to listen and to help, together with a deeper explanation of the nature of the sacrament, in order to provide the opportunity to desire and choose the sacrament up to the last moment. The Church is careful to look deeply for adequate signs of conversion, so that the faithful can reasonably ask for the reception of the sacraments. To delay absolution is a medicinal act of the Church, intended not to condemn, but to lead the sinner to conversion.</w:t>
      </w:r>
    </w:p>
    <w:p w14:paraId="3D9F642A" w14:textId="77777777" w:rsidR="007C5B5B" w:rsidRPr="007C5B5B" w:rsidRDefault="007C5B5B" w:rsidP="007C5B5B">
      <w:pPr>
        <w:rPr>
          <w:rFonts w:ascii="Verdana" w:hAnsi="Verdana"/>
        </w:rPr>
      </w:pPr>
    </w:p>
    <w:p w14:paraId="26D2701B" w14:textId="77777777" w:rsidR="007C5B5B" w:rsidRPr="007C5B5B" w:rsidRDefault="007C5B5B" w:rsidP="007C5B5B">
      <w:pPr>
        <w:rPr>
          <w:rFonts w:ascii="Verdana" w:hAnsi="Verdana"/>
        </w:rPr>
      </w:pPr>
      <w:r w:rsidRPr="007C5B5B">
        <w:rPr>
          <w:rFonts w:ascii="Verdana" w:hAnsi="Verdana"/>
        </w:rPr>
        <w:t>It is necessary to remain close to a person who may not be in the objective condition to receive the sacraments, for this nearness is an invitation to conversion, especially when euthanasia, requested or accepted, will not take place immediately or imminently. Here it remains possible to accompany the person whose hope may be revived and whose erroneous decision may be modified, thus opening the way to admission to the sacraments.</w:t>
      </w:r>
    </w:p>
    <w:p w14:paraId="72239545" w14:textId="77777777" w:rsidR="007C5B5B" w:rsidRPr="007C5B5B" w:rsidRDefault="007C5B5B" w:rsidP="007C5B5B">
      <w:pPr>
        <w:rPr>
          <w:rFonts w:ascii="Verdana" w:hAnsi="Verdana"/>
        </w:rPr>
      </w:pPr>
    </w:p>
    <w:p w14:paraId="7071CE14" w14:textId="5A22739F" w:rsidR="007C5B5B" w:rsidRPr="007C5B5B" w:rsidRDefault="007C5B5B" w:rsidP="007C5B5B">
      <w:pPr>
        <w:rPr>
          <w:rFonts w:ascii="Verdana" w:hAnsi="Verdana"/>
        </w:rPr>
      </w:pPr>
      <w:r w:rsidRPr="007C5B5B">
        <w:rPr>
          <w:rFonts w:ascii="Verdana" w:hAnsi="Verdana"/>
        </w:rPr>
        <w:t>Nevertheless, those who spiritually assist these persons should avoid any gesture, such as remaining until the euthanasia is performed, that could be interpreted as approval of this action. Such a presence could imply complicity in this act. This principle applies in a particular way, but is not limited to, chaplains in the healthcare systems where euthanasia is practiced, for they must not give scandal by behaving in a manner that makes them complicit in the termination of human life.</w:t>
      </w:r>
    </w:p>
    <w:p w14:paraId="4CF793D8" w14:textId="77777777" w:rsidR="007C5B5B" w:rsidRPr="007C5B5B" w:rsidRDefault="007C5B5B" w:rsidP="009C7F45">
      <w:pPr>
        <w:rPr>
          <w:rFonts w:ascii="Verdana" w:hAnsi="Verdana"/>
        </w:rPr>
      </w:pPr>
    </w:p>
    <w:p w14:paraId="75E63033" w14:textId="58FBBFBD" w:rsidR="009C7F45" w:rsidRDefault="009C7F45" w:rsidP="009C7F45">
      <w:pPr>
        <w:rPr>
          <w:rFonts w:ascii="Verdana" w:hAnsi="Verdana"/>
        </w:rPr>
      </w:pPr>
      <w:r w:rsidRPr="009C7F45">
        <w:rPr>
          <w:rFonts w:ascii="Verdana" w:hAnsi="Verdana"/>
        </w:rPr>
        <w:t>RESOURCE LIST:</w:t>
      </w:r>
    </w:p>
    <w:p w14:paraId="601374EB" w14:textId="77777777" w:rsidR="00BD428C" w:rsidRDefault="00BD428C" w:rsidP="009C7F45">
      <w:pPr>
        <w:rPr>
          <w:rFonts w:ascii="Verdana" w:hAnsi="Verdana"/>
        </w:rPr>
      </w:pPr>
    </w:p>
    <w:p w14:paraId="6F9A406B" w14:textId="77777777" w:rsidR="00C50169" w:rsidRPr="00C50169" w:rsidRDefault="00C50169" w:rsidP="009C7F45">
      <w:pPr>
        <w:rPr>
          <w:rFonts w:ascii="Verdana" w:hAnsi="Verdana"/>
          <w:b/>
          <w:bCs/>
        </w:rPr>
      </w:pPr>
      <w:r w:rsidRPr="00C50169">
        <w:rPr>
          <w:rFonts w:ascii="Verdana" w:hAnsi="Verdana"/>
          <w:b/>
          <w:bCs/>
        </w:rPr>
        <w:t>LETTER FROM THE CONGREGATION OF THE DOCTRINE OF THE FAITH:</w:t>
      </w:r>
    </w:p>
    <w:p w14:paraId="7962231A" w14:textId="1504AE2A" w:rsidR="00BD428C" w:rsidRPr="00C50169" w:rsidRDefault="00BD428C" w:rsidP="009C7F45">
      <w:pPr>
        <w:rPr>
          <w:rFonts w:ascii="Verdana" w:hAnsi="Verdana"/>
          <w:b/>
          <w:bCs/>
        </w:rPr>
      </w:pPr>
      <w:r w:rsidRPr="00C50169">
        <w:rPr>
          <w:rFonts w:ascii="Verdana" w:hAnsi="Verdana"/>
          <w:b/>
          <w:bCs/>
        </w:rPr>
        <w:t>SAMARITANUS BONUS</w:t>
      </w:r>
    </w:p>
    <w:p w14:paraId="151DE9EE" w14:textId="77777777" w:rsidR="00BD428C" w:rsidRDefault="00BD428C" w:rsidP="009C7F45">
      <w:pPr>
        <w:rPr>
          <w:rFonts w:ascii="Verdana" w:hAnsi="Verdana"/>
        </w:rPr>
      </w:pPr>
    </w:p>
    <w:p w14:paraId="2E4D321B" w14:textId="54125928" w:rsidR="00BD428C" w:rsidRDefault="00C50169" w:rsidP="009C7F45">
      <w:pPr>
        <w:rPr>
          <w:rFonts w:ascii="Verdana" w:hAnsi="Verdana"/>
        </w:rPr>
      </w:pPr>
      <w:hyperlink r:id="rId6" w:history="1">
        <w:r w:rsidRPr="00FB296F">
          <w:rPr>
            <w:rStyle w:val="Hyperlink"/>
            <w:rFonts w:ascii="Verdana" w:hAnsi="Verdana"/>
          </w:rPr>
          <w:t>https://www.vatican.va/roman_curia/congregations/cfaith/documents/rc_con_cfaith_doc_20200714_samaritanus-bonus_en.html#Pastoral_discernment</w:t>
        </w:r>
      </w:hyperlink>
    </w:p>
    <w:p w14:paraId="7E98B800" w14:textId="77777777" w:rsidR="00C50169" w:rsidRDefault="00C50169" w:rsidP="009C7F45">
      <w:pPr>
        <w:rPr>
          <w:rFonts w:ascii="Verdana" w:hAnsi="Verdana"/>
        </w:rPr>
      </w:pPr>
    </w:p>
    <w:p w14:paraId="5414D3CE" w14:textId="7ABF31B3" w:rsidR="00C50169" w:rsidRDefault="00C50169" w:rsidP="009C7F45">
      <w:pPr>
        <w:rPr>
          <w:rFonts w:ascii="Verdana" w:hAnsi="Verdana"/>
          <w:b/>
          <w:bCs/>
        </w:rPr>
      </w:pPr>
      <w:r w:rsidRPr="00C50169">
        <w:rPr>
          <w:rFonts w:ascii="Verdana" w:hAnsi="Verdana"/>
          <w:b/>
          <w:bCs/>
        </w:rPr>
        <w:t>CARDUS CENTRE</w:t>
      </w:r>
    </w:p>
    <w:p w14:paraId="762D0025" w14:textId="77777777" w:rsidR="00C50169" w:rsidRDefault="00C50169" w:rsidP="009C7F45">
      <w:pPr>
        <w:rPr>
          <w:rFonts w:ascii="Verdana" w:hAnsi="Verdana"/>
          <w:b/>
          <w:bCs/>
        </w:rPr>
      </w:pPr>
    </w:p>
    <w:p w14:paraId="3032D4CC" w14:textId="7E798354" w:rsidR="00C50169" w:rsidRDefault="00C50169" w:rsidP="009C7F45">
      <w:pPr>
        <w:rPr>
          <w:rFonts w:ascii="Verdana" w:hAnsi="Verdana"/>
        </w:rPr>
      </w:pPr>
      <w:hyperlink r:id="rId7" w:history="1">
        <w:r w:rsidRPr="00FB296F">
          <w:rPr>
            <w:rStyle w:val="Hyperlink"/>
            <w:rFonts w:ascii="Verdana" w:hAnsi="Verdana"/>
          </w:rPr>
          <w:t>https://www.cardus.ca/</w:t>
        </w:r>
      </w:hyperlink>
    </w:p>
    <w:p w14:paraId="4EF74F0C" w14:textId="77777777" w:rsidR="00C50169" w:rsidRDefault="00C50169" w:rsidP="009C7F45">
      <w:pPr>
        <w:rPr>
          <w:rFonts w:ascii="Verdana" w:hAnsi="Verdana"/>
        </w:rPr>
      </w:pPr>
    </w:p>
    <w:p w14:paraId="448DC58F" w14:textId="4527A245" w:rsidR="00C50169" w:rsidRDefault="00C50169" w:rsidP="009C7F45">
      <w:pPr>
        <w:rPr>
          <w:rFonts w:ascii="Verdana" w:hAnsi="Verdana"/>
          <w:b/>
          <w:bCs/>
        </w:rPr>
      </w:pPr>
      <w:r>
        <w:rPr>
          <w:rFonts w:ascii="Verdana" w:hAnsi="Verdana"/>
          <w:b/>
          <w:bCs/>
        </w:rPr>
        <w:t>EUTHANASIA AND ASSISTED SUICIDE:  WHY NOT?</w:t>
      </w:r>
    </w:p>
    <w:p w14:paraId="4E9FAD08" w14:textId="594928C0" w:rsidR="00C50169" w:rsidRDefault="00C50169" w:rsidP="009C7F45">
      <w:pPr>
        <w:rPr>
          <w:rFonts w:ascii="Verdana" w:hAnsi="Verdana"/>
        </w:rPr>
      </w:pPr>
      <w:hyperlink r:id="rId8" w:history="1">
        <w:r w:rsidRPr="00FB296F">
          <w:rPr>
            <w:rStyle w:val="Hyperlink"/>
            <w:rFonts w:ascii="Verdana" w:hAnsi="Verdana"/>
          </w:rPr>
          <w:t>https://www.archtoronto.org/siteassets/media/offices--ministries/sub-sites/euthanasia/colf-euthanasia-assisted-suicide-why-not.pdf</w:t>
        </w:r>
      </w:hyperlink>
    </w:p>
    <w:p w14:paraId="7A633FB9" w14:textId="77777777" w:rsidR="00C50169" w:rsidRDefault="00C50169" w:rsidP="009C7F45">
      <w:pPr>
        <w:rPr>
          <w:rFonts w:ascii="Verdana" w:hAnsi="Verdana"/>
        </w:rPr>
      </w:pPr>
    </w:p>
    <w:p w14:paraId="5087428D" w14:textId="77777777" w:rsidR="00C50169" w:rsidRDefault="00C50169" w:rsidP="009C7F45">
      <w:pPr>
        <w:rPr>
          <w:rFonts w:ascii="Verdana" w:hAnsi="Verdana"/>
        </w:rPr>
      </w:pPr>
    </w:p>
    <w:p w14:paraId="437562D1" w14:textId="456CD8BD" w:rsidR="00C50169" w:rsidRDefault="00BE7208" w:rsidP="009C7F45">
      <w:pPr>
        <w:rPr>
          <w:rFonts w:ascii="Verdana" w:hAnsi="Verdana"/>
          <w:b/>
          <w:bCs/>
        </w:rPr>
      </w:pPr>
      <w:r w:rsidRPr="00BE7208">
        <w:rPr>
          <w:rFonts w:ascii="Verdana" w:hAnsi="Verdana"/>
          <w:b/>
          <w:bCs/>
        </w:rPr>
        <w:t>G</w:t>
      </w:r>
      <w:r w:rsidRPr="00BE7208">
        <w:rPr>
          <w:rFonts w:ascii="Verdana" w:hAnsi="Verdana"/>
          <w:b/>
          <w:bCs/>
        </w:rPr>
        <w:t>U</w:t>
      </w:r>
      <w:r w:rsidRPr="00BE7208">
        <w:rPr>
          <w:rFonts w:ascii="Verdana" w:hAnsi="Verdana"/>
          <w:b/>
          <w:bCs/>
        </w:rPr>
        <w:t>IDELINES FOR CELEBRATION OF SACRAMENTS WITH PERSONS CONSIDERING DEATH BY ASSISTED SUICIDE OR EUTHANASIA</w:t>
      </w:r>
    </w:p>
    <w:p w14:paraId="1CDAE50B" w14:textId="77777777" w:rsidR="00BE7208" w:rsidRPr="00BE7208" w:rsidRDefault="00BE7208" w:rsidP="009C7F45">
      <w:pPr>
        <w:rPr>
          <w:rFonts w:ascii="Verdana" w:hAnsi="Verdana"/>
          <w:b/>
          <w:bCs/>
        </w:rPr>
      </w:pPr>
    </w:p>
    <w:p w14:paraId="41A5F649" w14:textId="1704642F" w:rsidR="00BE7208" w:rsidRDefault="00BE7208" w:rsidP="009C7F45">
      <w:pPr>
        <w:rPr>
          <w:rFonts w:ascii="Verdana" w:hAnsi="Verdana"/>
        </w:rPr>
      </w:pPr>
      <w:hyperlink r:id="rId9" w:history="1">
        <w:r w:rsidRPr="00FB296F">
          <w:rPr>
            <w:rStyle w:val="Hyperlink"/>
            <w:rFonts w:ascii="Verdana" w:hAnsi="Verdana"/>
          </w:rPr>
          <w:t>https://www.archtoronto.org/siteassets/media/archdiocese-of-toronto-main-site/files/resources/guidelines_for_celebration_of_sacraments_with_persons_considering_death_by_assisted_suicide_or_euthanasia.pdf</w:t>
        </w:r>
      </w:hyperlink>
    </w:p>
    <w:p w14:paraId="50B85432" w14:textId="77777777" w:rsidR="00BE7208" w:rsidRDefault="00BE7208" w:rsidP="009C7F45">
      <w:pPr>
        <w:rPr>
          <w:rFonts w:ascii="Verdana" w:hAnsi="Verdana"/>
        </w:rPr>
      </w:pPr>
    </w:p>
    <w:p w14:paraId="30E6F9B2" w14:textId="77777777" w:rsidR="00BE7208" w:rsidRPr="00C50169" w:rsidRDefault="00BE7208" w:rsidP="009C7F45">
      <w:pPr>
        <w:rPr>
          <w:rFonts w:ascii="Verdana" w:hAnsi="Verdana"/>
        </w:rPr>
      </w:pPr>
    </w:p>
    <w:p w14:paraId="3C6FE1E5" w14:textId="39F62F48" w:rsidR="009C7F45" w:rsidRPr="00BE7208" w:rsidRDefault="009C7F45" w:rsidP="00BE7208">
      <w:pPr>
        <w:jc w:val="center"/>
        <w:rPr>
          <w:rFonts w:ascii="Snell Roundhand" w:hAnsi="Snell Roundhand" w:cs="Dreaming Outloud Script Pro"/>
          <w:b/>
          <w:bCs/>
          <w:sz w:val="36"/>
          <w:szCs w:val="36"/>
        </w:rPr>
      </w:pPr>
      <w:r w:rsidRPr="00BE7208">
        <w:rPr>
          <w:rFonts w:ascii="Snell Roundhand" w:hAnsi="Snell Roundhand" w:cs="Dreaming Outloud Script Pro"/>
          <w:b/>
          <w:bCs/>
          <w:sz w:val="36"/>
          <w:szCs w:val="36"/>
        </w:rPr>
        <w:t xml:space="preserve">In a culture of death, let us </w:t>
      </w:r>
      <w:r w:rsidR="00F5674F" w:rsidRPr="00BE7208">
        <w:rPr>
          <w:rFonts w:ascii="Snell Roundhand" w:hAnsi="Snell Roundhand" w:cs="Dreaming Outloud Script Pro"/>
          <w:b/>
          <w:bCs/>
          <w:sz w:val="36"/>
          <w:szCs w:val="36"/>
        </w:rPr>
        <w:t>stand against the world and choose God by choosing life.</w:t>
      </w:r>
    </w:p>
    <w:p w14:paraId="4644657A" w14:textId="77777777" w:rsidR="00F5674F" w:rsidRDefault="00F5674F" w:rsidP="009C7F45">
      <w:pPr>
        <w:jc w:val="center"/>
        <w:rPr>
          <w:rFonts w:ascii="Dreaming Outloud Script Pro" w:hAnsi="Dreaming Outloud Script Pro" w:cs="Dreaming Outloud Script Pro"/>
          <w:sz w:val="36"/>
          <w:szCs w:val="36"/>
        </w:rPr>
      </w:pPr>
    </w:p>
    <w:p w14:paraId="18FD85B7" w14:textId="54067E7F" w:rsidR="00F5674F" w:rsidRPr="00F5674F" w:rsidRDefault="00F5674F" w:rsidP="009C7F45">
      <w:pPr>
        <w:jc w:val="center"/>
        <w:rPr>
          <w:rFonts w:ascii="Dreaming Outloud Script Pro" w:hAnsi="Dreaming Outloud Script Pro" w:cs="Dreaming Outloud Script Pro"/>
          <w:sz w:val="36"/>
          <w:szCs w:val="36"/>
        </w:rPr>
      </w:pPr>
    </w:p>
    <w:p w14:paraId="2E511B66" w14:textId="77777777" w:rsidR="009C7F45" w:rsidRPr="009C7F45" w:rsidRDefault="009C7F45" w:rsidP="009C7F45">
      <w:pPr>
        <w:rPr>
          <w:rFonts w:ascii="Verdana" w:hAnsi="Verdana"/>
          <w:lang w:val="en-CA"/>
        </w:rPr>
      </w:pPr>
    </w:p>
    <w:p w14:paraId="49E75E63" w14:textId="182FA6C8" w:rsidR="009C7F45" w:rsidRPr="009C7F45" w:rsidRDefault="009C7F45" w:rsidP="00F5674F">
      <w:pPr>
        <w:jc w:val="center"/>
        <w:rPr>
          <w:rFonts w:ascii="Verdana" w:hAnsi="Verdana"/>
        </w:rPr>
      </w:pPr>
    </w:p>
    <w:sectPr w:rsidR="009C7F45" w:rsidRPr="009C7F45" w:rsidSect="009C7F45">
      <w:pgSz w:w="12240" w:h="15840"/>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nell Roundhand">
    <w:panose1 w:val="02000603080000090004"/>
    <w:charset w:val="4D"/>
    <w:family w:val="auto"/>
    <w:pitch w:val="variable"/>
    <w:sig w:usb0="80000027" w:usb1="00000000" w:usb2="00000000" w:usb3="00000000" w:csb0="00000111" w:csb1="00000000"/>
  </w:font>
  <w:font w:name="Dreaming Outloud Script Pro">
    <w:panose1 w:val="03050502040304050704"/>
    <w:charset w:val="4D"/>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05B0"/>
    <w:multiLevelType w:val="hybridMultilevel"/>
    <w:tmpl w:val="C96CE936"/>
    <w:lvl w:ilvl="0" w:tplc="43FC9372">
      <w:start w:val="1"/>
      <w:numFmt w:val="bullet"/>
      <w:lvlText w:val="•"/>
      <w:lvlJc w:val="left"/>
      <w:pPr>
        <w:tabs>
          <w:tab w:val="num" w:pos="720"/>
        </w:tabs>
        <w:ind w:left="720" w:hanging="360"/>
      </w:pPr>
      <w:rPr>
        <w:rFonts w:ascii="Arial" w:hAnsi="Arial" w:hint="default"/>
      </w:rPr>
    </w:lvl>
    <w:lvl w:ilvl="1" w:tplc="0D303890" w:tentative="1">
      <w:start w:val="1"/>
      <w:numFmt w:val="bullet"/>
      <w:lvlText w:val="•"/>
      <w:lvlJc w:val="left"/>
      <w:pPr>
        <w:tabs>
          <w:tab w:val="num" w:pos="1440"/>
        </w:tabs>
        <w:ind w:left="1440" w:hanging="360"/>
      </w:pPr>
      <w:rPr>
        <w:rFonts w:ascii="Arial" w:hAnsi="Arial" w:hint="default"/>
      </w:rPr>
    </w:lvl>
    <w:lvl w:ilvl="2" w:tplc="5F769276" w:tentative="1">
      <w:start w:val="1"/>
      <w:numFmt w:val="bullet"/>
      <w:lvlText w:val="•"/>
      <w:lvlJc w:val="left"/>
      <w:pPr>
        <w:tabs>
          <w:tab w:val="num" w:pos="2160"/>
        </w:tabs>
        <w:ind w:left="2160" w:hanging="360"/>
      </w:pPr>
      <w:rPr>
        <w:rFonts w:ascii="Arial" w:hAnsi="Arial" w:hint="default"/>
      </w:rPr>
    </w:lvl>
    <w:lvl w:ilvl="3" w:tplc="43B4AE3E" w:tentative="1">
      <w:start w:val="1"/>
      <w:numFmt w:val="bullet"/>
      <w:lvlText w:val="•"/>
      <w:lvlJc w:val="left"/>
      <w:pPr>
        <w:tabs>
          <w:tab w:val="num" w:pos="2880"/>
        </w:tabs>
        <w:ind w:left="2880" w:hanging="360"/>
      </w:pPr>
      <w:rPr>
        <w:rFonts w:ascii="Arial" w:hAnsi="Arial" w:hint="default"/>
      </w:rPr>
    </w:lvl>
    <w:lvl w:ilvl="4" w:tplc="EC32F9DA" w:tentative="1">
      <w:start w:val="1"/>
      <w:numFmt w:val="bullet"/>
      <w:lvlText w:val="•"/>
      <w:lvlJc w:val="left"/>
      <w:pPr>
        <w:tabs>
          <w:tab w:val="num" w:pos="3600"/>
        </w:tabs>
        <w:ind w:left="3600" w:hanging="360"/>
      </w:pPr>
      <w:rPr>
        <w:rFonts w:ascii="Arial" w:hAnsi="Arial" w:hint="default"/>
      </w:rPr>
    </w:lvl>
    <w:lvl w:ilvl="5" w:tplc="B5A4D4B0" w:tentative="1">
      <w:start w:val="1"/>
      <w:numFmt w:val="bullet"/>
      <w:lvlText w:val="•"/>
      <w:lvlJc w:val="left"/>
      <w:pPr>
        <w:tabs>
          <w:tab w:val="num" w:pos="4320"/>
        </w:tabs>
        <w:ind w:left="4320" w:hanging="360"/>
      </w:pPr>
      <w:rPr>
        <w:rFonts w:ascii="Arial" w:hAnsi="Arial" w:hint="default"/>
      </w:rPr>
    </w:lvl>
    <w:lvl w:ilvl="6" w:tplc="058C4276" w:tentative="1">
      <w:start w:val="1"/>
      <w:numFmt w:val="bullet"/>
      <w:lvlText w:val="•"/>
      <w:lvlJc w:val="left"/>
      <w:pPr>
        <w:tabs>
          <w:tab w:val="num" w:pos="5040"/>
        </w:tabs>
        <w:ind w:left="5040" w:hanging="360"/>
      </w:pPr>
      <w:rPr>
        <w:rFonts w:ascii="Arial" w:hAnsi="Arial" w:hint="default"/>
      </w:rPr>
    </w:lvl>
    <w:lvl w:ilvl="7" w:tplc="FAFC5E92" w:tentative="1">
      <w:start w:val="1"/>
      <w:numFmt w:val="bullet"/>
      <w:lvlText w:val="•"/>
      <w:lvlJc w:val="left"/>
      <w:pPr>
        <w:tabs>
          <w:tab w:val="num" w:pos="5760"/>
        </w:tabs>
        <w:ind w:left="5760" w:hanging="360"/>
      </w:pPr>
      <w:rPr>
        <w:rFonts w:ascii="Arial" w:hAnsi="Arial" w:hint="default"/>
      </w:rPr>
    </w:lvl>
    <w:lvl w:ilvl="8" w:tplc="A4F60D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BF01EC"/>
    <w:multiLevelType w:val="hybridMultilevel"/>
    <w:tmpl w:val="CE2AB66A"/>
    <w:lvl w:ilvl="0" w:tplc="B49695C2">
      <w:start w:val="1"/>
      <w:numFmt w:val="bullet"/>
      <w:lvlText w:val="•"/>
      <w:lvlJc w:val="left"/>
      <w:pPr>
        <w:tabs>
          <w:tab w:val="num" w:pos="720"/>
        </w:tabs>
        <w:ind w:left="720" w:hanging="360"/>
      </w:pPr>
      <w:rPr>
        <w:rFonts w:ascii="Arial" w:hAnsi="Arial" w:hint="default"/>
      </w:rPr>
    </w:lvl>
    <w:lvl w:ilvl="1" w:tplc="CBFAD6D6" w:tentative="1">
      <w:start w:val="1"/>
      <w:numFmt w:val="bullet"/>
      <w:lvlText w:val="•"/>
      <w:lvlJc w:val="left"/>
      <w:pPr>
        <w:tabs>
          <w:tab w:val="num" w:pos="1440"/>
        </w:tabs>
        <w:ind w:left="1440" w:hanging="360"/>
      </w:pPr>
      <w:rPr>
        <w:rFonts w:ascii="Arial" w:hAnsi="Arial" w:hint="default"/>
      </w:rPr>
    </w:lvl>
    <w:lvl w:ilvl="2" w:tplc="6952DEBE" w:tentative="1">
      <w:start w:val="1"/>
      <w:numFmt w:val="bullet"/>
      <w:lvlText w:val="•"/>
      <w:lvlJc w:val="left"/>
      <w:pPr>
        <w:tabs>
          <w:tab w:val="num" w:pos="2160"/>
        </w:tabs>
        <w:ind w:left="2160" w:hanging="360"/>
      </w:pPr>
      <w:rPr>
        <w:rFonts w:ascii="Arial" w:hAnsi="Arial" w:hint="default"/>
      </w:rPr>
    </w:lvl>
    <w:lvl w:ilvl="3" w:tplc="9F063BBA" w:tentative="1">
      <w:start w:val="1"/>
      <w:numFmt w:val="bullet"/>
      <w:lvlText w:val="•"/>
      <w:lvlJc w:val="left"/>
      <w:pPr>
        <w:tabs>
          <w:tab w:val="num" w:pos="2880"/>
        </w:tabs>
        <w:ind w:left="2880" w:hanging="360"/>
      </w:pPr>
      <w:rPr>
        <w:rFonts w:ascii="Arial" w:hAnsi="Arial" w:hint="default"/>
      </w:rPr>
    </w:lvl>
    <w:lvl w:ilvl="4" w:tplc="E2243FDA" w:tentative="1">
      <w:start w:val="1"/>
      <w:numFmt w:val="bullet"/>
      <w:lvlText w:val="•"/>
      <w:lvlJc w:val="left"/>
      <w:pPr>
        <w:tabs>
          <w:tab w:val="num" w:pos="3600"/>
        </w:tabs>
        <w:ind w:left="3600" w:hanging="360"/>
      </w:pPr>
      <w:rPr>
        <w:rFonts w:ascii="Arial" w:hAnsi="Arial" w:hint="default"/>
      </w:rPr>
    </w:lvl>
    <w:lvl w:ilvl="5" w:tplc="DC1A73C4" w:tentative="1">
      <w:start w:val="1"/>
      <w:numFmt w:val="bullet"/>
      <w:lvlText w:val="•"/>
      <w:lvlJc w:val="left"/>
      <w:pPr>
        <w:tabs>
          <w:tab w:val="num" w:pos="4320"/>
        </w:tabs>
        <w:ind w:left="4320" w:hanging="360"/>
      </w:pPr>
      <w:rPr>
        <w:rFonts w:ascii="Arial" w:hAnsi="Arial" w:hint="default"/>
      </w:rPr>
    </w:lvl>
    <w:lvl w:ilvl="6" w:tplc="C19C37DC" w:tentative="1">
      <w:start w:val="1"/>
      <w:numFmt w:val="bullet"/>
      <w:lvlText w:val="•"/>
      <w:lvlJc w:val="left"/>
      <w:pPr>
        <w:tabs>
          <w:tab w:val="num" w:pos="5040"/>
        </w:tabs>
        <w:ind w:left="5040" w:hanging="360"/>
      </w:pPr>
      <w:rPr>
        <w:rFonts w:ascii="Arial" w:hAnsi="Arial" w:hint="default"/>
      </w:rPr>
    </w:lvl>
    <w:lvl w:ilvl="7" w:tplc="5BAC40F4" w:tentative="1">
      <w:start w:val="1"/>
      <w:numFmt w:val="bullet"/>
      <w:lvlText w:val="•"/>
      <w:lvlJc w:val="left"/>
      <w:pPr>
        <w:tabs>
          <w:tab w:val="num" w:pos="5760"/>
        </w:tabs>
        <w:ind w:left="5760" w:hanging="360"/>
      </w:pPr>
      <w:rPr>
        <w:rFonts w:ascii="Arial" w:hAnsi="Arial" w:hint="default"/>
      </w:rPr>
    </w:lvl>
    <w:lvl w:ilvl="8" w:tplc="2FC298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E17B24"/>
    <w:multiLevelType w:val="hybridMultilevel"/>
    <w:tmpl w:val="BBAADE9A"/>
    <w:lvl w:ilvl="0" w:tplc="5DB08570">
      <w:start w:val="1"/>
      <w:numFmt w:val="bullet"/>
      <w:lvlText w:val="•"/>
      <w:lvlJc w:val="left"/>
      <w:pPr>
        <w:tabs>
          <w:tab w:val="num" w:pos="720"/>
        </w:tabs>
        <w:ind w:left="720" w:hanging="360"/>
      </w:pPr>
      <w:rPr>
        <w:rFonts w:ascii="Arial" w:hAnsi="Arial" w:hint="default"/>
      </w:rPr>
    </w:lvl>
    <w:lvl w:ilvl="1" w:tplc="C34CD066" w:tentative="1">
      <w:start w:val="1"/>
      <w:numFmt w:val="bullet"/>
      <w:lvlText w:val="•"/>
      <w:lvlJc w:val="left"/>
      <w:pPr>
        <w:tabs>
          <w:tab w:val="num" w:pos="1440"/>
        </w:tabs>
        <w:ind w:left="1440" w:hanging="360"/>
      </w:pPr>
      <w:rPr>
        <w:rFonts w:ascii="Arial" w:hAnsi="Arial" w:hint="default"/>
      </w:rPr>
    </w:lvl>
    <w:lvl w:ilvl="2" w:tplc="94FCFFBE" w:tentative="1">
      <w:start w:val="1"/>
      <w:numFmt w:val="bullet"/>
      <w:lvlText w:val="•"/>
      <w:lvlJc w:val="left"/>
      <w:pPr>
        <w:tabs>
          <w:tab w:val="num" w:pos="2160"/>
        </w:tabs>
        <w:ind w:left="2160" w:hanging="360"/>
      </w:pPr>
      <w:rPr>
        <w:rFonts w:ascii="Arial" w:hAnsi="Arial" w:hint="default"/>
      </w:rPr>
    </w:lvl>
    <w:lvl w:ilvl="3" w:tplc="D4A0BAFE" w:tentative="1">
      <w:start w:val="1"/>
      <w:numFmt w:val="bullet"/>
      <w:lvlText w:val="•"/>
      <w:lvlJc w:val="left"/>
      <w:pPr>
        <w:tabs>
          <w:tab w:val="num" w:pos="2880"/>
        </w:tabs>
        <w:ind w:left="2880" w:hanging="360"/>
      </w:pPr>
      <w:rPr>
        <w:rFonts w:ascii="Arial" w:hAnsi="Arial" w:hint="default"/>
      </w:rPr>
    </w:lvl>
    <w:lvl w:ilvl="4" w:tplc="32FA0936" w:tentative="1">
      <w:start w:val="1"/>
      <w:numFmt w:val="bullet"/>
      <w:lvlText w:val="•"/>
      <w:lvlJc w:val="left"/>
      <w:pPr>
        <w:tabs>
          <w:tab w:val="num" w:pos="3600"/>
        </w:tabs>
        <w:ind w:left="3600" w:hanging="360"/>
      </w:pPr>
      <w:rPr>
        <w:rFonts w:ascii="Arial" w:hAnsi="Arial" w:hint="default"/>
      </w:rPr>
    </w:lvl>
    <w:lvl w:ilvl="5" w:tplc="A50A043C" w:tentative="1">
      <w:start w:val="1"/>
      <w:numFmt w:val="bullet"/>
      <w:lvlText w:val="•"/>
      <w:lvlJc w:val="left"/>
      <w:pPr>
        <w:tabs>
          <w:tab w:val="num" w:pos="4320"/>
        </w:tabs>
        <w:ind w:left="4320" w:hanging="360"/>
      </w:pPr>
      <w:rPr>
        <w:rFonts w:ascii="Arial" w:hAnsi="Arial" w:hint="default"/>
      </w:rPr>
    </w:lvl>
    <w:lvl w:ilvl="6" w:tplc="EEE43AF4" w:tentative="1">
      <w:start w:val="1"/>
      <w:numFmt w:val="bullet"/>
      <w:lvlText w:val="•"/>
      <w:lvlJc w:val="left"/>
      <w:pPr>
        <w:tabs>
          <w:tab w:val="num" w:pos="5040"/>
        </w:tabs>
        <w:ind w:left="5040" w:hanging="360"/>
      </w:pPr>
      <w:rPr>
        <w:rFonts w:ascii="Arial" w:hAnsi="Arial" w:hint="default"/>
      </w:rPr>
    </w:lvl>
    <w:lvl w:ilvl="7" w:tplc="1B5AD14A" w:tentative="1">
      <w:start w:val="1"/>
      <w:numFmt w:val="bullet"/>
      <w:lvlText w:val="•"/>
      <w:lvlJc w:val="left"/>
      <w:pPr>
        <w:tabs>
          <w:tab w:val="num" w:pos="5760"/>
        </w:tabs>
        <w:ind w:left="5760" w:hanging="360"/>
      </w:pPr>
      <w:rPr>
        <w:rFonts w:ascii="Arial" w:hAnsi="Arial" w:hint="default"/>
      </w:rPr>
    </w:lvl>
    <w:lvl w:ilvl="8" w:tplc="85D228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B821E8"/>
    <w:multiLevelType w:val="hybridMultilevel"/>
    <w:tmpl w:val="D4A09D6E"/>
    <w:lvl w:ilvl="0" w:tplc="0A62C708">
      <w:start w:val="1"/>
      <w:numFmt w:val="bullet"/>
      <w:lvlText w:val="•"/>
      <w:lvlJc w:val="left"/>
      <w:pPr>
        <w:tabs>
          <w:tab w:val="num" w:pos="720"/>
        </w:tabs>
        <w:ind w:left="720" w:hanging="360"/>
      </w:pPr>
      <w:rPr>
        <w:rFonts w:ascii="Arial" w:hAnsi="Arial" w:hint="default"/>
      </w:rPr>
    </w:lvl>
    <w:lvl w:ilvl="1" w:tplc="033C90E6" w:tentative="1">
      <w:start w:val="1"/>
      <w:numFmt w:val="bullet"/>
      <w:lvlText w:val="•"/>
      <w:lvlJc w:val="left"/>
      <w:pPr>
        <w:tabs>
          <w:tab w:val="num" w:pos="1440"/>
        </w:tabs>
        <w:ind w:left="1440" w:hanging="360"/>
      </w:pPr>
      <w:rPr>
        <w:rFonts w:ascii="Arial" w:hAnsi="Arial" w:hint="default"/>
      </w:rPr>
    </w:lvl>
    <w:lvl w:ilvl="2" w:tplc="64CEBF32" w:tentative="1">
      <w:start w:val="1"/>
      <w:numFmt w:val="bullet"/>
      <w:lvlText w:val="•"/>
      <w:lvlJc w:val="left"/>
      <w:pPr>
        <w:tabs>
          <w:tab w:val="num" w:pos="2160"/>
        </w:tabs>
        <w:ind w:left="2160" w:hanging="360"/>
      </w:pPr>
      <w:rPr>
        <w:rFonts w:ascii="Arial" w:hAnsi="Arial" w:hint="default"/>
      </w:rPr>
    </w:lvl>
    <w:lvl w:ilvl="3" w:tplc="52CCD9E2" w:tentative="1">
      <w:start w:val="1"/>
      <w:numFmt w:val="bullet"/>
      <w:lvlText w:val="•"/>
      <w:lvlJc w:val="left"/>
      <w:pPr>
        <w:tabs>
          <w:tab w:val="num" w:pos="2880"/>
        </w:tabs>
        <w:ind w:left="2880" w:hanging="360"/>
      </w:pPr>
      <w:rPr>
        <w:rFonts w:ascii="Arial" w:hAnsi="Arial" w:hint="default"/>
      </w:rPr>
    </w:lvl>
    <w:lvl w:ilvl="4" w:tplc="55D8C344" w:tentative="1">
      <w:start w:val="1"/>
      <w:numFmt w:val="bullet"/>
      <w:lvlText w:val="•"/>
      <w:lvlJc w:val="left"/>
      <w:pPr>
        <w:tabs>
          <w:tab w:val="num" w:pos="3600"/>
        </w:tabs>
        <w:ind w:left="3600" w:hanging="360"/>
      </w:pPr>
      <w:rPr>
        <w:rFonts w:ascii="Arial" w:hAnsi="Arial" w:hint="default"/>
      </w:rPr>
    </w:lvl>
    <w:lvl w:ilvl="5" w:tplc="AB1497F8" w:tentative="1">
      <w:start w:val="1"/>
      <w:numFmt w:val="bullet"/>
      <w:lvlText w:val="•"/>
      <w:lvlJc w:val="left"/>
      <w:pPr>
        <w:tabs>
          <w:tab w:val="num" w:pos="4320"/>
        </w:tabs>
        <w:ind w:left="4320" w:hanging="360"/>
      </w:pPr>
      <w:rPr>
        <w:rFonts w:ascii="Arial" w:hAnsi="Arial" w:hint="default"/>
      </w:rPr>
    </w:lvl>
    <w:lvl w:ilvl="6" w:tplc="85A6D2D6" w:tentative="1">
      <w:start w:val="1"/>
      <w:numFmt w:val="bullet"/>
      <w:lvlText w:val="•"/>
      <w:lvlJc w:val="left"/>
      <w:pPr>
        <w:tabs>
          <w:tab w:val="num" w:pos="5040"/>
        </w:tabs>
        <w:ind w:left="5040" w:hanging="360"/>
      </w:pPr>
      <w:rPr>
        <w:rFonts w:ascii="Arial" w:hAnsi="Arial" w:hint="default"/>
      </w:rPr>
    </w:lvl>
    <w:lvl w:ilvl="7" w:tplc="0B7E60E0" w:tentative="1">
      <w:start w:val="1"/>
      <w:numFmt w:val="bullet"/>
      <w:lvlText w:val="•"/>
      <w:lvlJc w:val="left"/>
      <w:pPr>
        <w:tabs>
          <w:tab w:val="num" w:pos="5760"/>
        </w:tabs>
        <w:ind w:left="5760" w:hanging="360"/>
      </w:pPr>
      <w:rPr>
        <w:rFonts w:ascii="Arial" w:hAnsi="Arial" w:hint="default"/>
      </w:rPr>
    </w:lvl>
    <w:lvl w:ilvl="8" w:tplc="0F0CA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AE0802"/>
    <w:multiLevelType w:val="hybridMultilevel"/>
    <w:tmpl w:val="D7A43864"/>
    <w:lvl w:ilvl="0" w:tplc="ABBE46DE">
      <w:start w:val="1"/>
      <w:numFmt w:val="bullet"/>
      <w:lvlText w:val="•"/>
      <w:lvlJc w:val="left"/>
      <w:pPr>
        <w:tabs>
          <w:tab w:val="num" w:pos="720"/>
        </w:tabs>
        <w:ind w:left="720" w:hanging="360"/>
      </w:pPr>
      <w:rPr>
        <w:rFonts w:ascii="Arial" w:hAnsi="Arial" w:hint="default"/>
      </w:rPr>
    </w:lvl>
    <w:lvl w:ilvl="1" w:tplc="0F50C1FC" w:tentative="1">
      <w:start w:val="1"/>
      <w:numFmt w:val="bullet"/>
      <w:lvlText w:val="•"/>
      <w:lvlJc w:val="left"/>
      <w:pPr>
        <w:tabs>
          <w:tab w:val="num" w:pos="1440"/>
        </w:tabs>
        <w:ind w:left="1440" w:hanging="360"/>
      </w:pPr>
      <w:rPr>
        <w:rFonts w:ascii="Arial" w:hAnsi="Arial" w:hint="default"/>
      </w:rPr>
    </w:lvl>
    <w:lvl w:ilvl="2" w:tplc="87BA8DF8" w:tentative="1">
      <w:start w:val="1"/>
      <w:numFmt w:val="bullet"/>
      <w:lvlText w:val="•"/>
      <w:lvlJc w:val="left"/>
      <w:pPr>
        <w:tabs>
          <w:tab w:val="num" w:pos="2160"/>
        </w:tabs>
        <w:ind w:left="2160" w:hanging="360"/>
      </w:pPr>
      <w:rPr>
        <w:rFonts w:ascii="Arial" w:hAnsi="Arial" w:hint="default"/>
      </w:rPr>
    </w:lvl>
    <w:lvl w:ilvl="3" w:tplc="DA3CF3D6" w:tentative="1">
      <w:start w:val="1"/>
      <w:numFmt w:val="bullet"/>
      <w:lvlText w:val="•"/>
      <w:lvlJc w:val="left"/>
      <w:pPr>
        <w:tabs>
          <w:tab w:val="num" w:pos="2880"/>
        </w:tabs>
        <w:ind w:left="2880" w:hanging="360"/>
      </w:pPr>
      <w:rPr>
        <w:rFonts w:ascii="Arial" w:hAnsi="Arial" w:hint="default"/>
      </w:rPr>
    </w:lvl>
    <w:lvl w:ilvl="4" w:tplc="DC3C7566" w:tentative="1">
      <w:start w:val="1"/>
      <w:numFmt w:val="bullet"/>
      <w:lvlText w:val="•"/>
      <w:lvlJc w:val="left"/>
      <w:pPr>
        <w:tabs>
          <w:tab w:val="num" w:pos="3600"/>
        </w:tabs>
        <w:ind w:left="3600" w:hanging="360"/>
      </w:pPr>
      <w:rPr>
        <w:rFonts w:ascii="Arial" w:hAnsi="Arial" w:hint="default"/>
      </w:rPr>
    </w:lvl>
    <w:lvl w:ilvl="5" w:tplc="4B58FBAC" w:tentative="1">
      <w:start w:val="1"/>
      <w:numFmt w:val="bullet"/>
      <w:lvlText w:val="•"/>
      <w:lvlJc w:val="left"/>
      <w:pPr>
        <w:tabs>
          <w:tab w:val="num" w:pos="4320"/>
        </w:tabs>
        <w:ind w:left="4320" w:hanging="360"/>
      </w:pPr>
      <w:rPr>
        <w:rFonts w:ascii="Arial" w:hAnsi="Arial" w:hint="default"/>
      </w:rPr>
    </w:lvl>
    <w:lvl w:ilvl="6" w:tplc="ACE6A9D4" w:tentative="1">
      <w:start w:val="1"/>
      <w:numFmt w:val="bullet"/>
      <w:lvlText w:val="•"/>
      <w:lvlJc w:val="left"/>
      <w:pPr>
        <w:tabs>
          <w:tab w:val="num" w:pos="5040"/>
        </w:tabs>
        <w:ind w:left="5040" w:hanging="360"/>
      </w:pPr>
      <w:rPr>
        <w:rFonts w:ascii="Arial" w:hAnsi="Arial" w:hint="default"/>
      </w:rPr>
    </w:lvl>
    <w:lvl w:ilvl="7" w:tplc="9DE6F38C" w:tentative="1">
      <w:start w:val="1"/>
      <w:numFmt w:val="bullet"/>
      <w:lvlText w:val="•"/>
      <w:lvlJc w:val="left"/>
      <w:pPr>
        <w:tabs>
          <w:tab w:val="num" w:pos="5760"/>
        </w:tabs>
        <w:ind w:left="5760" w:hanging="360"/>
      </w:pPr>
      <w:rPr>
        <w:rFonts w:ascii="Arial" w:hAnsi="Arial" w:hint="default"/>
      </w:rPr>
    </w:lvl>
    <w:lvl w:ilvl="8" w:tplc="0D54C6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873106"/>
    <w:multiLevelType w:val="hybridMultilevel"/>
    <w:tmpl w:val="F9CCBEA0"/>
    <w:lvl w:ilvl="0" w:tplc="B1C68CBC">
      <w:start w:val="1"/>
      <w:numFmt w:val="bullet"/>
      <w:lvlText w:val="•"/>
      <w:lvlJc w:val="left"/>
      <w:pPr>
        <w:tabs>
          <w:tab w:val="num" w:pos="720"/>
        </w:tabs>
        <w:ind w:left="720" w:hanging="360"/>
      </w:pPr>
      <w:rPr>
        <w:rFonts w:ascii="Arial" w:hAnsi="Arial" w:hint="default"/>
      </w:rPr>
    </w:lvl>
    <w:lvl w:ilvl="1" w:tplc="6D942A06" w:tentative="1">
      <w:start w:val="1"/>
      <w:numFmt w:val="bullet"/>
      <w:lvlText w:val="•"/>
      <w:lvlJc w:val="left"/>
      <w:pPr>
        <w:tabs>
          <w:tab w:val="num" w:pos="1440"/>
        </w:tabs>
        <w:ind w:left="1440" w:hanging="360"/>
      </w:pPr>
      <w:rPr>
        <w:rFonts w:ascii="Arial" w:hAnsi="Arial" w:hint="default"/>
      </w:rPr>
    </w:lvl>
    <w:lvl w:ilvl="2" w:tplc="AFB2BB12" w:tentative="1">
      <w:start w:val="1"/>
      <w:numFmt w:val="bullet"/>
      <w:lvlText w:val="•"/>
      <w:lvlJc w:val="left"/>
      <w:pPr>
        <w:tabs>
          <w:tab w:val="num" w:pos="2160"/>
        </w:tabs>
        <w:ind w:left="2160" w:hanging="360"/>
      </w:pPr>
      <w:rPr>
        <w:rFonts w:ascii="Arial" w:hAnsi="Arial" w:hint="default"/>
      </w:rPr>
    </w:lvl>
    <w:lvl w:ilvl="3" w:tplc="21065550" w:tentative="1">
      <w:start w:val="1"/>
      <w:numFmt w:val="bullet"/>
      <w:lvlText w:val="•"/>
      <w:lvlJc w:val="left"/>
      <w:pPr>
        <w:tabs>
          <w:tab w:val="num" w:pos="2880"/>
        </w:tabs>
        <w:ind w:left="2880" w:hanging="360"/>
      </w:pPr>
      <w:rPr>
        <w:rFonts w:ascii="Arial" w:hAnsi="Arial" w:hint="default"/>
      </w:rPr>
    </w:lvl>
    <w:lvl w:ilvl="4" w:tplc="732A85F0" w:tentative="1">
      <w:start w:val="1"/>
      <w:numFmt w:val="bullet"/>
      <w:lvlText w:val="•"/>
      <w:lvlJc w:val="left"/>
      <w:pPr>
        <w:tabs>
          <w:tab w:val="num" w:pos="3600"/>
        </w:tabs>
        <w:ind w:left="3600" w:hanging="360"/>
      </w:pPr>
      <w:rPr>
        <w:rFonts w:ascii="Arial" w:hAnsi="Arial" w:hint="default"/>
      </w:rPr>
    </w:lvl>
    <w:lvl w:ilvl="5" w:tplc="D48ECE90" w:tentative="1">
      <w:start w:val="1"/>
      <w:numFmt w:val="bullet"/>
      <w:lvlText w:val="•"/>
      <w:lvlJc w:val="left"/>
      <w:pPr>
        <w:tabs>
          <w:tab w:val="num" w:pos="4320"/>
        </w:tabs>
        <w:ind w:left="4320" w:hanging="360"/>
      </w:pPr>
      <w:rPr>
        <w:rFonts w:ascii="Arial" w:hAnsi="Arial" w:hint="default"/>
      </w:rPr>
    </w:lvl>
    <w:lvl w:ilvl="6" w:tplc="FBF20014" w:tentative="1">
      <w:start w:val="1"/>
      <w:numFmt w:val="bullet"/>
      <w:lvlText w:val="•"/>
      <w:lvlJc w:val="left"/>
      <w:pPr>
        <w:tabs>
          <w:tab w:val="num" w:pos="5040"/>
        </w:tabs>
        <w:ind w:left="5040" w:hanging="360"/>
      </w:pPr>
      <w:rPr>
        <w:rFonts w:ascii="Arial" w:hAnsi="Arial" w:hint="default"/>
      </w:rPr>
    </w:lvl>
    <w:lvl w:ilvl="7" w:tplc="5388EA14" w:tentative="1">
      <w:start w:val="1"/>
      <w:numFmt w:val="bullet"/>
      <w:lvlText w:val="•"/>
      <w:lvlJc w:val="left"/>
      <w:pPr>
        <w:tabs>
          <w:tab w:val="num" w:pos="5760"/>
        </w:tabs>
        <w:ind w:left="5760" w:hanging="360"/>
      </w:pPr>
      <w:rPr>
        <w:rFonts w:ascii="Arial" w:hAnsi="Arial" w:hint="default"/>
      </w:rPr>
    </w:lvl>
    <w:lvl w:ilvl="8" w:tplc="AF6895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732058"/>
    <w:multiLevelType w:val="hybridMultilevel"/>
    <w:tmpl w:val="277400C8"/>
    <w:lvl w:ilvl="0" w:tplc="4C0251D2">
      <w:start w:val="1"/>
      <w:numFmt w:val="bullet"/>
      <w:lvlText w:val="•"/>
      <w:lvlJc w:val="left"/>
      <w:pPr>
        <w:tabs>
          <w:tab w:val="num" w:pos="720"/>
        </w:tabs>
        <w:ind w:left="720" w:hanging="360"/>
      </w:pPr>
      <w:rPr>
        <w:rFonts w:ascii="Arial" w:hAnsi="Arial" w:hint="default"/>
      </w:rPr>
    </w:lvl>
    <w:lvl w:ilvl="1" w:tplc="5BC62C6E" w:tentative="1">
      <w:start w:val="1"/>
      <w:numFmt w:val="bullet"/>
      <w:lvlText w:val="•"/>
      <w:lvlJc w:val="left"/>
      <w:pPr>
        <w:tabs>
          <w:tab w:val="num" w:pos="1440"/>
        </w:tabs>
        <w:ind w:left="1440" w:hanging="360"/>
      </w:pPr>
      <w:rPr>
        <w:rFonts w:ascii="Arial" w:hAnsi="Arial" w:hint="default"/>
      </w:rPr>
    </w:lvl>
    <w:lvl w:ilvl="2" w:tplc="DC068B94" w:tentative="1">
      <w:start w:val="1"/>
      <w:numFmt w:val="bullet"/>
      <w:lvlText w:val="•"/>
      <w:lvlJc w:val="left"/>
      <w:pPr>
        <w:tabs>
          <w:tab w:val="num" w:pos="2160"/>
        </w:tabs>
        <w:ind w:left="2160" w:hanging="360"/>
      </w:pPr>
      <w:rPr>
        <w:rFonts w:ascii="Arial" w:hAnsi="Arial" w:hint="default"/>
      </w:rPr>
    </w:lvl>
    <w:lvl w:ilvl="3" w:tplc="131C5518" w:tentative="1">
      <w:start w:val="1"/>
      <w:numFmt w:val="bullet"/>
      <w:lvlText w:val="•"/>
      <w:lvlJc w:val="left"/>
      <w:pPr>
        <w:tabs>
          <w:tab w:val="num" w:pos="2880"/>
        </w:tabs>
        <w:ind w:left="2880" w:hanging="360"/>
      </w:pPr>
      <w:rPr>
        <w:rFonts w:ascii="Arial" w:hAnsi="Arial" w:hint="default"/>
      </w:rPr>
    </w:lvl>
    <w:lvl w:ilvl="4" w:tplc="F9861CDC" w:tentative="1">
      <w:start w:val="1"/>
      <w:numFmt w:val="bullet"/>
      <w:lvlText w:val="•"/>
      <w:lvlJc w:val="left"/>
      <w:pPr>
        <w:tabs>
          <w:tab w:val="num" w:pos="3600"/>
        </w:tabs>
        <w:ind w:left="3600" w:hanging="360"/>
      </w:pPr>
      <w:rPr>
        <w:rFonts w:ascii="Arial" w:hAnsi="Arial" w:hint="default"/>
      </w:rPr>
    </w:lvl>
    <w:lvl w:ilvl="5" w:tplc="91F6F7CC" w:tentative="1">
      <w:start w:val="1"/>
      <w:numFmt w:val="bullet"/>
      <w:lvlText w:val="•"/>
      <w:lvlJc w:val="left"/>
      <w:pPr>
        <w:tabs>
          <w:tab w:val="num" w:pos="4320"/>
        </w:tabs>
        <w:ind w:left="4320" w:hanging="360"/>
      </w:pPr>
      <w:rPr>
        <w:rFonts w:ascii="Arial" w:hAnsi="Arial" w:hint="default"/>
      </w:rPr>
    </w:lvl>
    <w:lvl w:ilvl="6" w:tplc="E276796C" w:tentative="1">
      <w:start w:val="1"/>
      <w:numFmt w:val="bullet"/>
      <w:lvlText w:val="•"/>
      <w:lvlJc w:val="left"/>
      <w:pPr>
        <w:tabs>
          <w:tab w:val="num" w:pos="5040"/>
        </w:tabs>
        <w:ind w:left="5040" w:hanging="360"/>
      </w:pPr>
      <w:rPr>
        <w:rFonts w:ascii="Arial" w:hAnsi="Arial" w:hint="default"/>
      </w:rPr>
    </w:lvl>
    <w:lvl w:ilvl="7" w:tplc="BC08218C" w:tentative="1">
      <w:start w:val="1"/>
      <w:numFmt w:val="bullet"/>
      <w:lvlText w:val="•"/>
      <w:lvlJc w:val="left"/>
      <w:pPr>
        <w:tabs>
          <w:tab w:val="num" w:pos="5760"/>
        </w:tabs>
        <w:ind w:left="5760" w:hanging="360"/>
      </w:pPr>
      <w:rPr>
        <w:rFonts w:ascii="Arial" w:hAnsi="Arial" w:hint="default"/>
      </w:rPr>
    </w:lvl>
    <w:lvl w:ilvl="8" w:tplc="48CAFA46" w:tentative="1">
      <w:start w:val="1"/>
      <w:numFmt w:val="bullet"/>
      <w:lvlText w:val="•"/>
      <w:lvlJc w:val="left"/>
      <w:pPr>
        <w:tabs>
          <w:tab w:val="num" w:pos="6480"/>
        </w:tabs>
        <w:ind w:left="6480" w:hanging="360"/>
      </w:pPr>
      <w:rPr>
        <w:rFonts w:ascii="Arial" w:hAnsi="Arial" w:hint="default"/>
      </w:rPr>
    </w:lvl>
  </w:abstractNum>
  <w:num w:numId="1" w16cid:durableId="490174436">
    <w:abstractNumId w:val="3"/>
  </w:num>
  <w:num w:numId="2" w16cid:durableId="755517126">
    <w:abstractNumId w:val="5"/>
  </w:num>
  <w:num w:numId="3" w16cid:durableId="2079934637">
    <w:abstractNumId w:val="0"/>
  </w:num>
  <w:num w:numId="4" w16cid:durableId="2075544299">
    <w:abstractNumId w:val="4"/>
  </w:num>
  <w:num w:numId="5" w16cid:durableId="3434073">
    <w:abstractNumId w:val="1"/>
  </w:num>
  <w:num w:numId="6" w16cid:durableId="1823161110">
    <w:abstractNumId w:val="6"/>
  </w:num>
  <w:num w:numId="7" w16cid:durableId="871184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45"/>
    <w:rsid w:val="00094B55"/>
    <w:rsid w:val="00337E23"/>
    <w:rsid w:val="00392AD6"/>
    <w:rsid w:val="005F03EB"/>
    <w:rsid w:val="006066D8"/>
    <w:rsid w:val="007C5B5B"/>
    <w:rsid w:val="009C7F45"/>
    <w:rsid w:val="009D2EE7"/>
    <w:rsid w:val="00B00715"/>
    <w:rsid w:val="00BD428C"/>
    <w:rsid w:val="00BE7208"/>
    <w:rsid w:val="00C43C5A"/>
    <w:rsid w:val="00C45FA4"/>
    <w:rsid w:val="00C50169"/>
    <w:rsid w:val="00CC2B6A"/>
    <w:rsid w:val="00D84916"/>
    <w:rsid w:val="00DA29FD"/>
    <w:rsid w:val="00E62184"/>
    <w:rsid w:val="00F07D4C"/>
    <w:rsid w:val="00F5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AF127"/>
  <w14:defaultImageDpi w14:val="32767"/>
  <w15:chartTrackingRefBased/>
  <w15:docId w15:val="{B04B77D0-C818-AF4F-8027-E91C4D40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F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F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F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F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F45"/>
    <w:rPr>
      <w:rFonts w:eastAsiaTheme="majorEastAsia" w:cstheme="majorBidi"/>
      <w:color w:val="272727" w:themeColor="text1" w:themeTint="D8"/>
    </w:rPr>
  </w:style>
  <w:style w:type="paragraph" w:styleId="Title">
    <w:name w:val="Title"/>
    <w:basedOn w:val="Normal"/>
    <w:next w:val="Normal"/>
    <w:link w:val="TitleChar"/>
    <w:uiPriority w:val="10"/>
    <w:qFormat/>
    <w:rsid w:val="009C7F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F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F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7F45"/>
    <w:rPr>
      <w:i/>
      <w:iCs/>
      <w:color w:val="404040" w:themeColor="text1" w:themeTint="BF"/>
    </w:rPr>
  </w:style>
  <w:style w:type="paragraph" w:styleId="ListParagraph">
    <w:name w:val="List Paragraph"/>
    <w:basedOn w:val="Normal"/>
    <w:uiPriority w:val="34"/>
    <w:qFormat/>
    <w:rsid w:val="009C7F45"/>
    <w:pPr>
      <w:ind w:left="720"/>
      <w:contextualSpacing/>
    </w:pPr>
  </w:style>
  <w:style w:type="character" w:styleId="IntenseEmphasis">
    <w:name w:val="Intense Emphasis"/>
    <w:basedOn w:val="DefaultParagraphFont"/>
    <w:uiPriority w:val="21"/>
    <w:qFormat/>
    <w:rsid w:val="009C7F45"/>
    <w:rPr>
      <w:i/>
      <w:iCs/>
      <w:color w:val="0F4761" w:themeColor="accent1" w:themeShade="BF"/>
    </w:rPr>
  </w:style>
  <w:style w:type="paragraph" w:styleId="IntenseQuote">
    <w:name w:val="Intense Quote"/>
    <w:basedOn w:val="Normal"/>
    <w:next w:val="Normal"/>
    <w:link w:val="IntenseQuoteChar"/>
    <w:uiPriority w:val="30"/>
    <w:qFormat/>
    <w:rsid w:val="009C7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F45"/>
    <w:rPr>
      <w:i/>
      <w:iCs/>
      <w:color w:val="0F4761" w:themeColor="accent1" w:themeShade="BF"/>
    </w:rPr>
  </w:style>
  <w:style w:type="character" w:styleId="IntenseReference">
    <w:name w:val="Intense Reference"/>
    <w:basedOn w:val="DefaultParagraphFont"/>
    <w:uiPriority w:val="32"/>
    <w:qFormat/>
    <w:rsid w:val="009C7F45"/>
    <w:rPr>
      <w:b/>
      <w:bCs/>
      <w:smallCaps/>
      <w:color w:val="0F4761" w:themeColor="accent1" w:themeShade="BF"/>
      <w:spacing w:val="5"/>
    </w:rPr>
  </w:style>
  <w:style w:type="character" w:styleId="Hyperlink">
    <w:name w:val="Hyperlink"/>
    <w:basedOn w:val="DefaultParagraphFont"/>
    <w:uiPriority w:val="99"/>
    <w:unhideWhenUsed/>
    <w:rsid w:val="009C7F45"/>
    <w:rPr>
      <w:color w:val="467886" w:themeColor="hyperlink"/>
      <w:u w:val="single"/>
    </w:rPr>
  </w:style>
  <w:style w:type="character" w:styleId="UnresolvedMention">
    <w:name w:val="Unresolved Mention"/>
    <w:basedOn w:val="DefaultParagraphFont"/>
    <w:uiPriority w:val="99"/>
    <w:rsid w:val="009C7F45"/>
    <w:rPr>
      <w:color w:val="605E5C"/>
      <w:shd w:val="clear" w:color="auto" w:fill="E1DFDD"/>
    </w:rPr>
  </w:style>
  <w:style w:type="character" w:styleId="FollowedHyperlink">
    <w:name w:val="FollowedHyperlink"/>
    <w:basedOn w:val="DefaultParagraphFont"/>
    <w:uiPriority w:val="99"/>
    <w:semiHidden/>
    <w:unhideWhenUsed/>
    <w:rsid w:val="007C5B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54673">
      <w:bodyDiv w:val="1"/>
      <w:marLeft w:val="0"/>
      <w:marRight w:val="0"/>
      <w:marTop w:val="0"/>
      <w:marBottom w:val="0"/>
      <w:divBdr>
        <w:top w:val="none" w:sz="0" w:space="0" w:color="auto"/>
        <w:left w:val="none" w:sz="0" w:space="0" w:color="auto"/>
        <w:bottom w:val="none" w:sz="0" w:space="0" w:color="auto"/>
        <w:right w:val="none" w:sz="0" w:space="0" w:color="auto"/>
      </w:divBdr>
      <w:divsChild>
        <w:div w:id="965356405">
          <w:marLeft w:val="547"/>
          <w:marRight w:val="0"/>
          <w:marTop w:val="0"/>
          <w:marBottom w:val="0"/>
          <w:divBdr>
            <w:top w:val="none" w:sz="0" w:space="0" w:color="auto"/>
            <w:left w:val="none" w:sz="0" w:space="0" w:color="auto"/>
            <w:bottom w:val="none" w:sz="0" w:space="0" w:color="auto"/>
            <w:right w:val="none" w:sz="0" w:space="0" w:color="auto"/>
          </w:divBdr>
        </w:div>
        <w:div w:id="1417094675">
          <w:marLeft w:val="547"/>
          <w:marRight w:val="0"/>
          <w:marTop w:val="0"/>
          <w:marBottom w:val="0"/>
          <w:divBdr>
            <w:top w:val="none" w:sz="0" w:space="0" w:color="auto"/>
            <w:left w:val="none" w:sz="0" w:space="0" w:color="auto"/>
            <w:bottom w:val="none" w:sz="0" w:space="0" w:color="auto"/>
            <w:right w:val="none" w:sz="0" w:space="0" w:color="auto"/>
          </w:divBdr>
        </w:div>
      </w:divsChild>
    </w:div>
    <w:div w:id="1188370945">
      <w:bodyDiv w:val="1"/>
      <w:marLeft w:val="0"/>
      <w:marRight w:val="0"/>
      <w:marTop w:val="0"/>
      <w:marBottom w:val="0"/>
      <w:divBdr>
        <w:top w:val="none" w:sz="0" w:space="0" w:color="auto"/>
        <w:left w:val="none" w:sz="0" w:space="0" w:color="auto"/>
        <w:bottom w:val="none" w:sz="0" w:space="0" w:color="auto"/>
        <w:right w:val="none" w:sz="0" w:space="0" w:color="auto"/>
      </w:divBdr>
      <w:divsChild>
        <w:div w:id="259685929">
          <w:marLeft w:val="547"/>
          <w:marRight w:val="0"/>
          <w:marTop w:val="0"/>
          <w:marBottom w:val="0"/>
          <w:divBdr>
            <w:top w:val="none" w:sz="0" w:space="0" w:color="auto"/>
            <w:left w:val="none" w:sz="0" w:space="0" w:color="auto"/>
            <w:bottom w:val="none" w:sz="0" w:space="0" w:color="auto"/>
            <w:right w:val="none" w:sz="0" w:space="0" w:color="auto"/>
          </w:divBdr>
        </w:div>
        <w:div w:id="59400561">
          <w:marLeft w:val="274"/>
          <w:marRight w:val="0"/>
          <w:marTop w:val="0"/>
          <w:marBottom w:val="0"/>
          <w:divBdr>
            <w:top w:val="none" w:sz="0" w:space="0" w:color="auto"/>
            <w:left w:val="none" w:sz="0" w:space="0" w:color="auto"/>
            <w:bottom w:val="none" w:sz="0" w:space="0" w:color="auto"/>
            <w:right w:val="none" w:sz="0" w:space="0" w:color="auto"/>
          </w:divBdr>
        </w:div>
      </w:divsChild>
    </w:div>
    <w:div w:id="1447388002">
      <w:bodyDiv w:val="1"/>
      <w:marLeft w:val="0"/>
      <w:marRight w:val="0"/>
      <w:marTop w:val="0"/>
      <w:marBottom w:val="0"/>
      <w:divBdr>
        <w:top w:val="none" w:sz="0" w:space="0" w:color="auto"/>
        <w:left w:val="none" w:sz="0" w:space="0" w:color="auto"/>
        <w:bottom w:val="none" w:sz="0" w:space="0" w:color="auto"/>
        <w:right w:val="none" w:sz="0" w:space="0" w:color="auto"/>
      </w:divBdr>
    </w:div>
    <w:div w:id="1513766445">
      <w:bodyDiv w:val="1"/>
      <w:marLeft w:val="0"/>
      <w:marRight w:val="0"/>
      <w:marTop w:val="0"/>
      <w:marBottom w:val="0"/>
      <w:divBdr>
        <w:top w:val="none" w:sz="0" w:space="0" w:color="auto"/>
        <w:left w:val="none" w:sz="0" w:space="0" w:color="auto"/>
        <w:bottom w:val="none" w:sz="0" w:space="0" w:color="auto"/>
        <w:right w:val="none" w:sz="0" w:space="0" w:color="auto"/>
      </w:divBdr>
      <w:divsChild>
        <w:div w:id="2032565146">
          <w:marLeft w:val="0"/>
          <w:marRight w:val="0"/>
          <w:marTop w:val="0"/>
          <w:marBottom w:val="120"/>
          <w:divBdr>
            <w:top w:val="none" w:sz="0" w:space="0" w:color="auto"/>
            <w:left w:val="none" w:sz="0" w:space="0" w:color="auto"/>
            <w:bottom w:val="none" w:sz="0" w:space="0" w:color="auto"/>
            <w:right w:val="none" w:sz="0" w:space="0" w:color="auto"/>
          </w:divBdr>
        </w:div>
        <w:div w:id="1128234306">
          <w:marLeft w:val="0"/>
          <w:marRight w:val="0"/>
          <w:marTop w:val="0"/>
          <w:marBottom w:val="120"/>
          <w:divBdr>
            <w:top w:val="none" w:sz="0" w:space="0" w:color="auto"/>
            <w:left w:val="none" w:sz="0" w:space="0" w:color="auto"/>
            <w:bottom w:val="none" w:sz="0" w:space="0" w:color="auto"/>
            <w:right w:val="none" w:sz="0" w:space="0" w:color="auto"/>
          </w:divBdr>
        </w:div>
        <w:div w:id="2001345230">
          <w:marLeft w:val="0"/>
          <w:marRight w:val="0"/>
          <w:marTop w:val="0"/>
          <w:marBottom w:val="120"/>
          <w:divBdr>
            <w:top w:val="none" w:sz="0" w:space="0" w:color="auto"/>
            <w:left w:val="none" w:sz="0" w:space="0" w:color="auto"/>
            <w:bottom w:val="none" w:sz="0" w:space="0" w:color="auto"/>
            <w:right w:val="none" w:sz="0" w:space="0" w:color="auto"/>
          </w:divBdr>
        </w:div>
      </w:divsChild>
    </w:div>
    <w:div w:id="21471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toronto.org/siteassets/media/offices--ministries/sub-sites/euthanasia/colf-euthanasia-assisted-suicide-why-not.pdf" TargetMode="External"/><Relationship Id="rId3" Type="http://schemas.openxmlformats.org/officeDocument/2006/relationships/settings" Target="settings.xml"/><Relationship Id="rId7" Type="http://schemas.openxmlformats.org/officeDocument/2006/relationships/hyperlink" Target="https://www.cardu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va/roman_curia/congregations/cfaith/documents/rc_con_cfaith_doc_20200714_samaritanus-bonus_en.html#Pastoral_discernment" TargetMode="External"/><Relationship Id="rId11" Type="http://schemas.openxmlformats.org/officeDocument/2006/relationships/theme" Target="theme/theme1.xml"/><Relationship Id="rId5" Type="http://schemas.openxmlformats.org/officeDocument/2006/relationships/hyperlink" Target="https://www.vatican.va/roman_curia/congregations/cfaith/documents/rc_con_cfaith_doc_20200714_samaritanus-bonus_e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chtoronto.org/siteassets/media/archdiocese-of-toronto-main-site/files/resources/guidelines_for_celebration_of_sacraments_with_persons_considering_death_by_assisted_suicide_or_euthanas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Nadal, Tara</dc:creator>
  <cp:keywords/>
  <dc:description/>
  <cp:lastModifiedBy>Nadal, Tara</cp:lastModifiedBy>
  <cp:revision>3</cp:revision>
  <cp:lastPrinted>2024-11-10T15:39:00Z</cp:lastPrinted>
  <dcterms:created xsi:type="dcterms:W3CDTF">2024-11-09T01:55:00Z</dcterms:created>
  <dcterms:modified xsi:type="dcterms:W3CDTF">2024-11-12T23:10:00Z</dcterms:modified>
</cp:coreProperties>
</file>